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>Wednesday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March 22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 xml:space="preserve">:00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hint="default"/>
        </w:rPr>
        <w:t>https://us05web.zoom.us/j/86070514389?pwd=dEl0MGxRUkxuR05RMHJPN0lvRERVQT09</w:t>
      </w:r>
      <w:bookmarkStart w:id="0" w:name="_GoBack"/>
      <w:bookmarkEnd w:id="0"/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Dan Tallman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 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  </w:t>
      </w:r>
      <w:r>
        <w:rPr>
          <w:rFonts w:ascii="Arial" w:hAnsi="Arial" w:eastAsia="Arial" w:cs="Arial"/>
          <w:sz w:val="20"/>
        </w:rPr>
        <w:t xml:space="preserve">  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 xml:space="preserve"> Devin Hill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 </w:t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 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draft assessment scenarios (discuss possibility of adding parking lots and potentially total bsf)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6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B0C557C"/>
    <w:rsid w:val="1BF10240"/>
    <w:rsid w:val="210A77B9"/>
    <w:rsid w:val="27B25886"/>
    <w:rsid w:val="2B194FFC"/>
    <w:rsid w:val="31724EB5"/>
    <w:rsid w:val="37DF4383"/>
    <w:rsid w:val="3E72001C"/>
    <w:rsid w:val="46EC0F9A"/>
    <w:rsid w:val="49974A59"/>
    <w:rsid w:val="52E474BB"/>
    <w:rsid w:val="562A20EE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4322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2023-02-28T20:28:00Z</cp:lastPrinted>
  <dcterms:modified xsi:type="dcterms:W3CDTF">2023-03-20T17:31:21Z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C11559200B8140D08C5DE38CD3D91710</vt:lpwstr>
  </property>
</Properties>
</file>